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B" w:rsidRDefault="00D92324" w:rsidP="00E1604B">
      <w:pPr>
        <w:pStyle w:val="BodyText"/>
        <w:sectPr w:rsidR="00E1604B" w:rsidSect="00E1604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  <w:r w:rsidRPr="00D9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7D25" wp14:editId="0F69C01F">
                <wp:simplePos x="0" y="0"/>
                <wp:positionH relativeFrom="column">
                  <wp:posOffset>6177088</wp:posOffset>
                </wp:positionH>
                <wp:positionV relativeFrom="paragraph">
                  <wp:posOffset>2413089</wp:posOffset>
                </wp:positionV>
                <wp:extent cx="978196" cy="297712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24" w:rsidRDefault="00E3487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April </w:t>
                            </w:r>
                            <w:r w:rsidR="00D92324">
                              <w:rPr>
                                <w:noProof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pt;margin-top:190pt;width:7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vT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" stroked="f">
                <v:textbox>
                  <w:txbxContent>
                    <w:p w:rsidR="00D92324" w:rsidRDefault="00E3487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April </w:t>
                      </w:r>
                      <w:r w:rsidR="00D92324">
                        <w:rPr>
                          <w:noProof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480370">
        <w:rPr>
          <w:noProof/>
        </w:rPr>
        <w:drawing>
          <wp:inline distT="0" distB="0" distL="0" distR="0" wp14:anchorId="66FC2A45" wp14:editId="72EE7E11">
            <wp:extent cx="7552800" cy="2473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52"/>
        </w:rPr>
        <w:alias w:val="Title"/>
        <w:tag w:val=""/>
        <w:id w:val="-19171197"/>
        <w:placeholder>
          <w:docPart w:val="C1DAD11CAEEF438CB4383BBCD17B4D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27C2D" w:rsidRPr="007B6A04" w:rsidRDefault="009D414A" w:rsidP="00AC3CE5">
          <w:pPr>
            <w:pStyle w:val="Title"/>
            <w:ind w:right="-23"/>
            <w:jc w:val="center"/>
            <w:rPr>
              <w:sz w:val="52"/>
            </w:rPr>
          </w:pPr>
          <w:r w:rsidRPr="007B6A04">
            <w:rPr>
              <w:sz w:val="52"/>
            </w:rPr>
            <w:t>North America—</w:t>
          </w:r>
          <w:r w:rsidR="00EA0785" w:rsidRPr="007B6A04">
            <w:rPr>
              <w:sz w:val="52"/>
            </w:rPr>
            <w:t xml:space="preserve">Education </w:t>
          </w:r>
          <w:r w:rsidR="00AC3CE5" w:rsidRPr="007B6A04">
            <w:rPr>
              <w:sz w:val="52"/>
            </w:rPr>
            <w:t>&amp; Research Partnership Opportunities</w:t>
          </w:r>
        </w:p>
      </w:sdtContent>
    </w:sdt>
    <w:p w:rsidR="0063548E" w:rsidRDefault="009D414A" w:rsidP="0063548E">
      <w:pPr>
        <w:pStyle w:val="Heading1"/>
      </w:pPr>
      <w:bookmarkStart w:id="0" w:name="_Toc364946116"/>
      <w:r>
        <w:t>U.S.</w:t>
      </w:r>
      <w:r w:rsidR="00AC3CE5">
        <w:t xml:space="preserve"> Government</w:t>
      </w:r>
      <w:r w:rsidR="00EB319F">
        <w:t xml:space="preserve"> p</w:t>
      </w:r>
      <w:r w:rsidR="002679C9">
        <w:t>riorities</w:t>
      </w:r>
    </w:p>
    <w:p w:rsidR="0063548E" w:rsidRDefault="006E2B8E" w:rsidP="0063548E">
      <w:pPr>
        <w:pStyle w:val="Heading2"/>
      </w:pPr>
      <w:r>
        <w:t>Priorities</w:t>
      </w:r>
      <w:bookmarkStart w:id="1" w:name="_GoBack"/>
      <w:bookmarkEnd w:id="1"/>
    </w:p>
    <w:bookmarkEnd w:id="0"/>
    <w:p w:rsidR="00E2156D" w:rsidRDefault="009D414A" w:rsidP="009D414A">
      <w:pPr>
        <w:pStyle w:val="ListParagraph"/>
        <w:numPr>
          <w:ilvl w:val="0"/>
          <w:numId w:val="20"/>
        </w:numPr>
      </w:pPr>
      <w:r w:rsidRPr="00D6277E">
        <w:rPr>
          <w:b/>
          <w:noProof/>
        </w:rPr>
        <w:t>Quality, Costs &amp; Transparency:</w:t>
      </w:r>
      <w:r>
        <w:rPr>
          <w:noProof/>
        </w:rPr>
        <w:t xml:space="preserve">  The U.S. Department of Education has proposed a comprehensive</w:t>
      </w:r>
      <w:r w:rsidR="00747EDC">
        <w:rPr>
          <w:noProof/>
        </w:rPr>
        <w:t xml:space="preserve"> rating</w:t>
      </w:r>
      <w:r>
        <w:rPr>
          <w:noProof/>
        </w:rPr>
        <w:t xml:space="preserve"> system for</w:t>
      </w:r>
      <w:r w:rsidR="00747EDC">
        <w:rPr>
          <w:noProof/>
        </w:rPr>
        <w:t xml:space="preserve"> all post-secondary institutions. </w:t>
      </w:r>
      <w:r>
        <w:rPr>
          <w:noProof/>
        </w:rPr>
        <w:t>The system will include a range of indicators (yet to be agreed upon) that</w:t>
      </w:r>
      <w:r w:rsidR="00747EDC">
        <w:rPr>
          <w:noProof/>
        </w:rPr>
        <w:t xml:space="preserve"> would</w:t>
      </w:r>
      <w:r>
        <w:rPr>
          <w:noProof/>
        </w:rPr>
        <w:t xml:space="preserve"> provide students and families information about the quality, affordability, and innovativeness of institutions. </w:t>
      </w:r>
    </w:p>
    <w:p w:rsidR="0087167A" w:rsidRDefault="00E2156D" w:rsidP="007C5A23">
      <w:pPr>
        <w:pStyle w:val="ListParagraph"/>
        <w:numPr>
          <w:ilvl w:val="0"/>
          <w:numId w:val="20"/>
        </w:numPr>
      </w:pPr>
      <w:r w:rsidRPr="00E2156D">
        <w:rPr>
          <w:b/>
        </w:rPr>
        <w:t>Equity &amp;</w:t>
      </w:r>
      <w:r>
        <w:rPr>
          <w:b/>
        </w:rPr>
        <w:t xml:space="preserve"> </w:t>
      </w:r>
      <w:r w:rsidR="0087167A" w:rsidRPr="007C5A23">
        <w:rPr>
          <w:b/>
        </w:rPr>
        <w:t>Opportunity:</w:t>
      </w:r>
      <w:r w:rsidR="0087167A">
        <w:t xml:space="preserve"> The U.S. continues to be focused on expanding educational access and increasing completion rates, especially among under-represented groups, in both K-12 and higher education. Federal initiatives to address these issues include the </w:t>
      </w:r>
      <w:r w:rsidR="0087167A" w:rsidRPr="0087167A">
        <w:rPr>
          <w:i/>
        </w:rPr>
        <w:t>First in the World Fund</w:t>
      </w:r>
      <w:r w:rsidR="0087167A">
        <w:t xml:space="preserve"> ($75 million in 2014), </w:t>
      </w:r>
      <w:r w:rsidR="0087167A" w:rsidRPr="0087167A">
        <w:rPr>
          <w:i/>
        </w:rPr>
        <w:t xml:space="preserve">America’s College Promise </w:t>
      </w:r>
      <w:r w:rsidR="0087167A">
        <w:t xml:space="preserve">(funding requested in 2016 budget), School Improvement Grants ($506 million in 2014), among others.   </w:t>
      </w:r>
    </w:p>
    <w:p w:rsidR="001E2898" w:rsidRDefault="001E2898" w:rsidP="00786B6E">
      <w:pPr>
        <w:pStyle w:val="ListParagraph"/>
        <w:numPr>
          <w:ilvl w:val="0"/>
          <w:numId w:val="20"/>
        </w:numPr>
      </w:pPr>
      <w:r>
        <w:rPr>
          <w:b/>
        </w:rPr>
        <w:t xml:space="preserve">Science &amp; Technology: </w:t>
      </w:r>
      <w:r>
        <w:t>The U.S. Government’s proposed multi-agency science and technology priorities for the FY 2016 Budget are advanced manufacturi</w:t>
      </w:r>
      <w:r w:rsidR="00F95E8A">
        <w:t>ng and industries of the future;</w:t>
      </w:r>
      <w:r>
        <w:t xml:space="preserve"> clean e</w:t>
      </w:r>
      <w:r w:rsidR="00F95E8A">
        <w:t>nergy; earth observations; global climate change;</w:t>
      </w:r>
      <w:r>
        <w:t xml:space="preserve"> information technology</w:t>
      </w:r>
      <w:r w:rsidR="00F95E8A">
        <w:t xml:space="preserve"> and high performance computing;</w:t>
      </w:r>
      <w:r>
        <w:t xml:space="preserve"> innovation in life sciences, biology and neuroscience; national and homeland security; and R&amp;D for informed policy-making and management. </w:t>
      </w:r>
      <w:r w:rsidR="0087167A">
        <w:t>Improving STEM education in schools is also a federal priority.</w:t>
      </w:r>
    </w:p>
    <w:p w:rsidR="0087167A" w:rsidRPr="007C5A23" w:rsidRDefault="0087167A" w:rsidP="0087167A">
      <w:pPr>
        <w:pStyle w:val="ListParagraph"/>
        <w:numPr>
          <w:ilvl w:val="0"/>
          <w:numId w:val="20"/>
        </w:numPr>
      </w:pPr>
      <w:r w:rsidRPr="00E2156D">
        <w:rPr>
          <w:b/>
        </w:rPr>
        <w:t>Early Learning:</w:t>
      </w:r>
      <w:r w:rsidRPr="007C5A23">
        <w:t xml:space="preserve"> Improving and expanding access to early childhood learning opportunities has been a multi-year priority for the U.S. Department of Education. The 2016 budget requests $750 million for Preschool Development grants for states, plus $75 billion over 10 years to support the Preschool for All initiative. </w:t>
      </w:r>
    </w:p>
    <w:p w:rsidR="0087167A" w:rsidRPr="00E2156D" w:rsidRDefault="0087167A" w:rsidP="0087167A">
      <w:pPr>
        <w:pStyle w:val="ListParagraph"/>
        <w:numPr>
          <w:ilvl w:val="0"/>
          <w:numId w:val="20"/>
        </w:numPr>
      </w:pPr>
      <w:r w:rsidRPr="00E2156D">
        <w:rPr>
          <w:b/>
        </w:rPr>
        <w:t>Increasing Support for Educators:</w:t>
      </w:r>
      <w:r w:rsidRPr="007C5A23">
        <w:t xml:space="preserve"> Numerous federal programs exist to </w:t>
      </w:r>
      <w:r w:rsidR="00E2156D">
        <w:t xml:space="preserve">fund </w:t>
      </w:r>
      <w:r w:rsidRPr="007C5A23">
        <w:t xml:space="preserve">state and local initiatives that recruit, support, reward, and/or advance the careers of teachers and leaders. </w:t>
      </w:r>
    </w:p>
    <w:p w:rsidR="00D91538" w:rsidRDefault="00D91538" w:rsidP="00D91538">
      <w:pPr>
        <w:pStyle w:val="Heading2"/>
      </w:pPr>
      <w:r>
        <w:t xml:space="preserve">Emerging Trends </w:t>
      </w:r>
    </w:p>
    <w:p w:rsidR="002679C9" w:rsidRDefault="00D91538" w:rsidP="009D414A">
      <w:pPr>
        <w:pStyle w:val="ListParagraph"/>
        <w:numPr>
          <w:ilvl w:val="0"/>
          <w:numId w:val="21"/>
        </w:numPr>
      </w:pPr>
      <w:r>
        <w:rPr>
          <w:b/>
        </w:rPr>
        <w:t xml:space="preserve">Increasing </w:t>
      </w:r>
      <w:r w:rsidR="007B6A04">
        <w:rPr>
          <w:b/>
        </w:rPr>
        <w:t xml:space="preserve">Exchange: </w:t>
      </w:r>
      <w:r w:rsidR="009D414A">
        <w:t xml:space="preserve">Through Austrade, Australia recently became a country partner in </w:t>
      </w:r>
      <w:r w:rsidR="009D414A">
        <w:rPr>
          <w:i/>
        </w:rPr>
        <w:t>Generation Study Abroad,</w:t>
      </w:r>
      <w:r w:rsidR="009D414A">
        <w:t xml:space="preserve"> a State Department-supported initiative to </w:t>
      </w:r>
      <w:r w:rsidR="007A7E8F">
        <w:t xml:space="preserve">increase to </w:t>
      </w:r>
      <w:proofErr w:type="spellStart"/>
      <w:r w:rsidR="007A7E8F">
        <w:t>600K</w:t>
      </w:r>
      <w:proofErr w:type="spellEnd"/>
      <w:r w:rsidR="007A7E8F">
        <w:t xml:space="preserve"> the</w:t>
      </w:r>
      <w:r w:rsidR="009D414A">
        <w:t xml:space="preserve"> number of American students studying overseas by 2020. </w:t>
      </w:r>
    </w:p>
    <w:p w:rsidR="007B6A04" w:rsidRDefault="007B6A04" w:rsidP="007B6A04">
      <w:pPr>
        <w:pStyle w:val="ListParagraph"/>
        <w:numPr>
          <w:ilvl w:val="0"/>
          <w:numId w:val="21"/>
        </w:numPr>
      </w:pPr>
      <w:r w:rsidRPr="00D6277E">
        <w:rPr>
          <w:b/>
        </w:rPr>
        <w:lastRenderedPageBreak/>
        <w:t>Accreditation:</w:t>
      </w:r>
      <w:r>
        <w:t xml:space="preserve"> Though accreditation is not a federal responsibility in the U.S., the federal government is considering strategies to more tightly control quality at for-profit institutions and all institutions that prepare teachers.  </w:t>
      </w:r>
      <w:r w:rsidR="002E628C">
        <w:t xml:space="preserve">New “Gainful Employment” regulations may impact Australian institutions that enrol U.S. students in career-oriented programs. </w:t>
      </w:r>
    </w:p>
    <w:p w:rsidR="00161F55" w:rsidRDefault="00161F55" w:rsidP="007B6A04">
      <w:pPr>
        <w:pStyle w:val="ListParagraph"/>
        <w:numPr>
          <w:ilvl w:val="0"/>
          <w:numId w:val="21"/>
        </w:numPr>
      </w:pPr>
      <w:r>
        <w:rPr>
          <w:b/>
        </w:rPr>
        <w:t>Innovation:</w:t>
      </w:r>
      <w:r>
        <w:t xml:space="preserve"> Many U.S. institutions are introducing flexible new degree programs in non-traditional formats, including competency-based programs and blended or hybrid programs</w:t>
      </w:r>
      <w:r w:rsidR="0087167A">
        <w:t xml:space="preserve">, often created in collaboration with local employers. A similar trend has emerged in the schools sector, where high schools (often charters) join with institutes of higher education and industry partners to offer unique hybrid diploma/degree programs. </w:t>
      </w:r>
    </w:p>
    <w:p w:rsidR="009D414A" w:rsidRPr="00D91538" w:rsidRDefault="007B6A04" w:rsidP="009D414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Joint/Dual Degrees: </w:t>
      </w:r>
      <w:r>
        <w:t>Survey results indicate that U.S. Institutions are offering more</w:t>
      </w:r>
      <w:r w:rsidR="00D91538">
        <w:t xml:space="preserve"> international</w:t>
      </w:r>
      <w:r>
        <w:t xml:space="preserve"> joint- and dual-degrees than ever before, with top partnering countries </w:t>
      </w:r>
      <w:r w:rsidR="00D91538">
        <w:t xml:space="preserve">including </w:t>
      </w:r>
      <w:r>
        <w:t xml:space="preserve">China, France, Germany and South Korea. </w:t>
      </w:r>
      <w:r w:rsidR="00D91538">
        <w:t xml:space="preserve">Most such programs cater to host countries’ students, however, and enrol far fewer U.S. students. </w:t>
      </w:r>
    </w:p>
    <w:p w:rsidR="00D91538" w:rsidRPr="007B6A04" w:rsidRDefault="00D91538" w:rsidP="009D414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Internships.</w:t>
      </w:r>
      <w:r w:rsidR="007A7E8F">
        <w:t xml:space="preserve"> There is an increasing </w:t>
      </w:r>
      <w:r>
        <w:t>demand for internships abroad. U.S. students need to earn academic credit for wo</w:t>
      </w:r>
      <w:r w:rsidR="007A7E8F">
        <w:t>rkplace activities in order to use</w:t>
      </w:r>
      <w:r>
        <w:t xml:space="preserve"> U.S. federal aid to </w:t>
      </w:r>
      <w:r w:rsidR="007A7E8F">
        <w:t xml:space="preserve">pay </w:t>
      </w:r>
      <w:r>
        <w:t xml:space="preserve">their tuition &amp; fees while abroad.  </w:t>
      </w:r>
    </w:p>
    <w:p w:rsidR="00D91538" w:rsidRDefault="00D91538" w:rsidP="00D91538">
      <w:pPr>
        <w:pStyle w:val="Heading1"/>
      </w:pPr>
      <w:r>
        <w:t>Canadian Government priorities</w:t>
      </w:r>
    </w:p>
    <w:p w:rsidR="00D91538" w:rsidRDefault="00D91538" w:rsidP="00D91538">
      <w:pPr>
        <w:pStyle w:val="Heading2"/>
      </w:pPr>
      <w:r>
        <w:t xml:space="preserve">Priorities </w:t>
      </w:r>
    </w:p>
    <w:p w:rsidR="00D91538" w:rsidRPr="00D91538" w:rsidRDefault="00D91538" w:rsidP="00D91538">
      <w:pPr>
        <w:pStyle w:val="ListParagraph"/>
        <w:numPr>
          <w:ilvl w:val="0"/>
          <w:numId w:val="20"/>
        </w:numPr>
      </w:pPr>
      <w:r>
        <w:rPr>
          <w:b/>
          <w:noProof/>
        </w:rPr>
        <w:t>Asserting Global Research Excellence:</w:t>
      </w:r>
      <w:r w:rsidR="007A7E8F">
        <w:rPr>
          <w:b/>
          <w:noProof/>
        </w:rPr>
        <w:t xml:space="preserve"> </w:t>
      </w:r>
      <w:r w:rsidR="00D05116">
        <w:rPr>
          <w:noProof/>
        </w:rPr>
        <w:t xml:space="preserve">The Canada First Research Excellence fund will provide $1.5 billion in competitive grants to post-secondary institutions throughout Canada to “help them excel globally in research areas that create long-term economic advantages for Canada”. $350 million will be available in the inaugural round (closing June 2015). </w:t>
      </w:r>
    </w:p>
    <w:p w:rsidR="00D91538" w:rsidRDefault="00D91538" w:rsidP="00D91538">
      <w:pPr>
        <w:pStyle w:val="ListParagraph"/>
        <w:numPr>
          <w:ilvl w:val="0"/>
          <w:numId w:val="20"/>
        </w:numPr>
      </w:pPr>
      <w:r>
        <w:rPr>
          <w:b/>
          <w:noProof/>
        </w:rPr>
        <w:t xml:space="preserve">Increasing Exchange: </w:t>
      </w:r>
      <w:r w:rsidR="00D05116">
        <w:rPr>
          <w:noProof/>
        </w:rPr>
        <w:t>Canada’s hopes to increase outgoing and incoming mobility substantially in the next decade. The Canadian</w:t>
      </w:r>
      <w:r w:rsidR="00E3019B">
        <w:rPr>
          <w:noProof/>
        </w:rPr>
        <w:t xml:space="preserve"> Bureau of International Education has pledged to increase Canada’s international </w:t>
      </w:r>
      <w:r w:rsidR="0087167A">
        <w:rPr>
          <w:noProof/>
        </w:rPr>
        <w:t xml:space="preserve">student </w:t>
      </w:r>
      <w:r w:rsidR="00E3019B">
        <w:rPr>
          <w:noProof/>
        </w:rPr>
        <w:t>population from 239K to 450K by</w:t>
      </w:r>
      <w:r w:rsidR="00747EDC">
        <w:rPr>
          <w:noProof/>
        </w:rPr>
        <w:t xml:space="preserve"> 2022.  CBIE and other organizations frequently cite Australia’s outreach and success in Asian markets as an example for Canadian institutions.  </w:t>
      </w:r>
    </w:p>
    <w:p w:rsidR="001E2898" w:rsidRDefault="00F95E8A" w:rsidP="00D91538">
      <w:pPr>
        <w:pStyle w:val="ListParagraph"/>
        <w:numPr>
          <w:ilvl w:val="0"/>
          <w:numId w:val="20"/>
        </w:numPr>
      </w:pPr>
      <w:r>
        <w:rPr>
          <w:b/>
          <w:noProof/>
        </w:rPr>
        <w:t xml:space="preserve">Research Priorities: </w:t>
      </w:r>
      <w:r>
        <w:rPr>
          <w:noProof/>
        </w:rPr>
        <w:t>Canada has identified five key research priorities</w:t>
      </w:r>
      <w:r w:rsidR="0087167A">
        <w:rPr>
          <w:noProof/>
        </w:rPr>
        <w:t>:</w:t>
      </w:r>
      <w:r>
        <w:rPr>
          <w:noProof/>
        </w:rPr>
        <w:t xml:space="preserve"> environment and agriculture, </w:t>
      </w:r>
      <w:r w:rsidR="00AC42B4">
        <w:rPr>
          <w:noProof/>
        </w:rPr>
        <w:t xml:space="preserve">health and life sciecnes, natural resources and energy, information and communications technologies, and advanced manufacturing. </w:t>
      </w:r>
    </w:p>
    <w:p w:rsidR="00D91538" w:rsidRDefault="00D91538" w:rsidP="00D91538">
      <w:pPr>
        <w:pStyle w:val="Heading2"/>
      </w:pPr>
      <w:r>
        <w:t xml:space="preserve">Emerging Trends </w:t>
      </w:r>
    </w:p>
    <w:p w:rsidR="00367371" w:rsidRDefault="00D91538" w:rsidP="00367371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Visa Issues:</w:t>
      </w:r>
      <w:r w:rsidR="00367371">
        <w:rPr>
          <w:b/>
        </w:rPr>
        <w:t xml:space="preserve"> </w:t>
      </w:r>
      <w:r w:rsidR="00367371">
        <w:t xml:space="preserve">Universities are concerned about a major change to the Canadian visa system, which </w:t>
      </w:r>
      <w:r w:rsidR="00747EDC">
        <w:t xml:space="preserve">may disadvantage </w:t>
      </w:r>
      <w:r w:rsidR="00367371">
        <w:t xml:space="preserve">international students </w:t>
      </w:r>
      <w:r w:rsidR="00747EDC">
        <w:t>seeking</w:t>
      </w:r>
      <w:r w:rsidR="00367371">
        <w:t xml:space="preserve"> permanent residence status after earning </w:t>
      </w:r>
      <w:r w:rsidR="00747EDC">
        <w:t xml:space="preserve">their </w:t>
      </w:r>
      <w:r w:rsidR="00367371">
        <w:t>credentials</w:t>
      </w:r>
      <w:r w:rsidR="00747EDC">
        <w:t xml:space="preserve"> and exhausting their post-graduate work permits</w:t>
      </w:r>
      <w:r w:rsidR="00367371">
        <w:t xml:space="preserve">.  </w:t>
      </w:r>
    </w:p>
    <w:p w:rsidR="00D91538" w:rsidRPr="00367371" w:rsidRDefault="00E3019B" w:rsidP="00367371">
      <w:pPr>
        <w:pStyle w:val="ListParagraph"/>
        <w:numPr>
          <w:ilvl w:val="0"/>
          <w:numId w:val="21"/>
        </w:numPr>
        <w:rPr>
          <w:b/>
        </w:rPr>
      </w:pPr>
      <w:r w:rsidRPr="00367371">
        <w:rPr>
          <w:b/>
        </w:rPr>
        <w:t xml:space="preserve">Research </w:t>
      </w:r>
      <w:r w:rsidR="00D91538" w:rsidRPr="00367371">
        <w:rPr>
          <w:b/>
        </w:rPr>
        <w:t xml:space="preserve">Internships: </w:t>
      </w:r>
      <w:r>
        <w:t xml:space="preserve">Canada’s </w:t>
      </w:r>
      <w:proofErr w:type="spellStart"/>
      <w:r>
        <w:t>MITACS</w:t>
      </w:r>
      <w:proofErr w:type="spellEnd"/>
      <w:r>
        <w:t xml:space="preserve"> </w:t>
      </w:r>
      <w:proofErr w:type="spellStart"/>
      <w:r>
        <w:t>Globalink</w:t>
      </w:r>
      <w:proofErr w:type="spellEnd"/>
      <w:r>
        <w:t xml:space="preserve"> program offers two-way mobility opportunities between Canada and </w:t>
      </w:r>
      <w:r w:rsidR="00367371">
        <w:t xml:space="preserve">8 </w:t>
      </w:r>
      <w:r>
        <w:t>partner countries (</w:t>
      </w:r>
      <w:r w:rsidR="00367371">
        <w:t xml:space="preserve">including </w:t>
      </w:r>
      <w:r>
        <w:t xml:space="preserve">China, Vietnam, India, </w:t>
      </w:r>
      <w:r w:rsidR="00367371">
        <w:t xml:space="preserve">and Brazil) for undergraduate and graduate students interested in undertaking research projects with university faculty mentors. </w:t>
      </w:r>
      <w:proofErr w:type="spellStart"/>
      <w:r w:rsidR="00367371" w:rsidRPr="00367371">
        <w:rPr>
          <w:lang w:val="en"/>
        </w:rPr>
        <w:t>Globalink</w:t>
      </w:r>
      <w:proofErr w:type="spellEnd"/>
      <w:r w:rsidR="00367371" w:rsidRPr="00367371">
        <w:rPr>
          <w:lang w:val="en"/>
        </w:rPr>
        <w:t xml:space="preserve"> sends 200 students from Canada to eight partner countries and accepts 800 students into Canada each year through the program, which has an annual budget of about </w:t>
      </w:r>
      <w:proofErr w:type="spellStart"/>
      <w:r w:rsidR="00367371" w:rsidRPr="00367371">
        <w:rPr>
          <w:lang w:val="en"/>
        </w:rPr>
        <w:t>C$10</w:t>
      </w:r>
      <w:proofErr w:type="spellEnd"/>
      <w:r w:rsidR="00367371" w:rsidRPr="00367371">
        <w:rPr>
          <w:lang w:val="en"/>
        </w:rPr>
        <w:t xml:space="preserve"> million (largely from federal sources). </w:t>
      </w:r>
    </w:p>
    <w:p w:rsidR="00AC3CE5" w:rsidRDefault="002679C9" w:rsidP="00AC3CE5">
      <w:pPr>
        <w:pStyle w:val="Heading1"/>
      </w:pPr>
      <w:r>
        <w:lastRenderedPageBreak/>
        <w:t>Opportunities for Australia</w:t>
      </w:r>
    </w:p>
    <w:p w:rsidR="00D6277E" w:rsidRDefault="00D6277E" w:rsidP="00D6277E">
      <w:r>
        <w:t xml:space="preserve">There is </w:t>
      </w:r>
      <w:r w:rsidRPr="00D6277E">
        <w:rPr>
          <w:b/>
        </w:rPr>
        <w:t>ample</w:t>
      </w:r>
      <w:r>
        <w:t xml:space="preserve"> opportunity in the U.S. and in Canada for Australian institutions to promote themselves as credible collaborators in research and exchange, to establish research partnerships </w:t>
      </w:r>
      <w:r w:rsidR="00161F55">
        <w:t>with U.S. federal funding</w:t>
      </w:r>
      <w:r>
        <w:t xml:space="preserve">, and to showcase innovations and successes in teaching, learning, and administration. </w:t>
      </w:r>
      <w:r w:rsidR="00161F55">
        <w:t>There are also many lessons to be learned about innovative delivery models, business models, and policy initiatives at the government and institution level</w:t>
      </w:r>
      <w:r w:rsidR="0087167A">
        <w:t>, in both schools and tertiary education.</w:t>
      </w:r>
    </w:p>
    <w:p w:rsidR="006236F5" w:rsidRDefault="00D6277E" w:rsidP="009D414A">
      <w:pPr>
        <w:pStyle w:val="ListParagraph"/>
        <w:numPr>
          <w:ilvl w:val="0"/>
          <w:numId w:val="21"/>
        </w:numPr>
      </w:pPr>
      <w:r>
        <w:t xml:space="preserve">Soliciting U.S. federal research funding for collaborative projects, including from agencies like the National Science Foundation (NSF), </w:t>
      </w:r>
      <w:r w:rsidR="002B1EEC">
        <w:t xml:space="preserve">National Institute of Health, </w:t>
      </w:r>
      <w:r>
        <w:t xml:space="preserve">defence agencies, etc. </w:t>
      </w:r>
    </w:p>
    <w:p w:rsidR="006236F5" w:rsidRDefault="006236F5" w:rsidP="006236F5">
      <w:pPr>
        <w:pStyle w:val="ListParagraph"/>
        <w:numPr>
          <w:ilvl w:val="1"/>
          <w:numId w:val="21"/>
        </w:numPr>
      </w:pPr>
      <w:r>
        <w:t>Universities will have the opportunity to co-fund, with NSF, early career researchers successful in the East Asia and Pacific Summer Institutes Program (</w:t>
      </w:r>
      <w:proofErr w:type="spellStart"/>
      <w:r>
        <w:t>EAPSI</w:t>
      </w:r>
      <w:proofErr w:type="spellEnd"/>
      <w:r>
        <w:t>) from 2016.</w:t>
      </w:r>
    </w:p>
    <w:p w:rsidR="00D91538" w:rsidRDefault="00D91538" w:rsidP="00D91538">
      <w:pPr>
        <w:pStyle w:val="ListParagraph"/>
        <w:numPr>
          <w:ilvl w:val="0"/>
          <w:numId w:val="21"/>
        </w:numPr>
      </w:pPr>
      <w:r>
        <w:t xml:space="preserve">Showcasing innovative policies, programs, pedagogies, etc. at </w:t>
      </w:r>
      <w:r w:rsidR="00367371">
        <w:t>conferences and seminars of releva</w:t>
      </w:r>
      <w:r w:rsidR="006236F5">
        <w:t>nt peak bodies and other groups.</w:t>
      </w:r>
    </w:p>
    <w:p w:rsidR="00367371" w:rsidRDefault="00D91538" w:rsidP="00367371">
      <w:pPr>
        <w:pStyle w:val="ListParagraph"/>
        <w:numPr>
          <w:ilvl w:val="0"/>
          <w:numId w:val="21"/>
        </w:numPr>
      </w:pPr>
      <w:r>
        <w:t xml:space="preserve">Establishing joint- and dual-degrees, particularly in disciplines where research collaboration already exists, or where Australia has a clear research strength/advantage. </w:t>
      </w:r>
    </w:p>
    <w:p w:rsidR="00367371" w:rsidRDefault="00367371" w:rsidP="00367371">
      <w:pPr>
        <w:pStyle w:val="ListParagraph"/>
        <w:numPr>
          <w:ilvl w:val="0"/>
          <w:numId w:val="21"/>
        </w:numPr>
      </w:pPr>
      <w:r>
        <w:t xml:space="preserve">Engaging with Institute for International Education (US) or </w:t>
      </w:r>
      <w:proofErr w:type="spellStart"/>
      <w:r>
        <w:t>CBIE</w:t>
      </w:r>
      <w:proofErr w:type="spellEnd"/>
      <w:r>
        <w:t xml:space="preserve"> (Canada) to participate in their efforts to increase mobility</w:t>
      </w:r>
      <w:r w:rsidR="006236F5">
        <w:t>.</w:t>
      </w:r>
    </w:p>
    <w:p w:rsidR="00D91538" w:rsidRDefault="00D91538" w:rsidP="00367371">
      <w:pPr>
        <w:pStyle w:val="ListParagraph"/>
      </w:pPr>
      <w:r>
        <w:t xml:space="preserve"> </w:t>
      </w:r>
    </w:p>
    <w:p w:rsidR="0063548E" w:rsidRDefault="00EB319F" w:rsidP="0063548E">
      <w:pPr>
        <w:pStyle w:val="Heading1"/>
      </w:pPr>
      <w:r>
        <w:t>Our k</w:t>
      </w:r>
      <w:r w:rsidR="002679C9">
        <w:t>ey goals</w:t>
      </w:r>
    </w:p>
    <w:p w:rsidR="001C1693" w:rsidRPr="001C1693" w:rsidRDefault="001C1693" w:rsidP="001C1693">
      <w:pPr>
        <w:pStyle w:val="ListParagraph"/>
        <w:numPr>
          <w:ilvl w:val="0"/>
          <w:numId w:val="25"/>
        </w:numPr>
        <w:rPr>
          <w:rFonts w:cstheme="minorHAnsi"/>
          <w:lang w:val="en-US"/>
        </w:rPr>
      </w:pPr>
      <w:r w:rsidRPr="001C1693">
        <w:rPr>
          <w:rFonts w:eastAsia="Batang" w:cstheme="minorHAnsi"/>
          <w:lang w:val="en-US"/>
        </w:rPr>
        <w:t xml:space="preserve">Expand </w:t>
      </w:r>
      <w:r>
        <w:rPr>
          <w:rFonts w:eastAsia="Batang" w:cstheme="minorHAnsi"/>
          <w:lang w:val="en-US"/>
        </w:rPr>
        <w:t>bilateral cooperation</w:t>
      </w:r>
      <w:r w:rsidRPr="001C1693">
        <w:rPr>
          <w:rFonts w:eastAsia="Batang" w:cstheme="minorHAnsi"/>
          <w:lang w:val="en-US"/>
        </w:rPr>
        <w:t xml:space="preserve"> with North America and multilateral cooperation with the Asia-Pacific region </w:t>
      </w:r>
    </w:p>
    <w:p w:rsidR="001C1693" w:rsidRPr="001C1693" w:rsidRDefault="001C1693" w:rsidP="001C1693">
      <w:pPr>
        <w:pStyle w:val="ListParagraph"/>
        <w:numPr>
          <w:ilvl w:val="1"/>
          <w:numId w:val="25"/>
        </w:numPr>
        <w:rPr>
          <w:rFonts w:cstheme="minorHAnsi"/>
          <w:lang w:val="en-US"/>
        </w:rPr>
      </w:pPr>
      <w:r>
        <w:rPr>
          <w:rFonts w:eastAsia="Batang" w:cstheme="minorHAnsi"/>
          <w:lang w:val="en-US"/>
        </w:rPr>
        <w:t xml:space="preserve">Identify opportunities for </w:t>
      </w:r>
      <w:r w:rsidR="00A80E62">
        <w:rPr>
          <w:rFonts w:eastAsia="Batang" w:cstheme="minorHAnsi"/>
          <w:lang w:val="en-US"/>
        </w:rPr>
        <w:t xml:space="preserve">collaboration (often with </w:t>
      </w:r>
      <w:proofErr w:type="spellStart"/>
      <w:r w:rsidR="00A80E62">
        <w:rPr>
          <w:rFonts w:eastAsia="Batang" w:cstheme="minorHAnsi"/>
          <w:lang w:val="en-US"/>
        </w:rPr>
        <w:t>Austrade</w:t>
      </w:r>
      <w:proofErr w:type="spellEnd"/>
      <w:r w:rsidR="00A80E62">
        <w:rPr>
          <w:rFonts w:eastAsia="Batang" w:cstheme="minorHAnsi"/>
          <w:lang w:val="en-US"/>
        </w:rPr>
        <w:t>)</w:t>
      </w:r>
    </w:p>
    <w:p w:rsidR="001C1693" w:rsidRPr="001C1693" w:rsidRDefault="001C1693" w:rsidP="001C1693">
      <w:pPr>
        <w:pStyle w:val="ListParagraph"/>
        <w:numPr>
          <w:ilvl w:val="0"/>
          <w:numId w:val="25"/>
        </w:numPr>
        <w:rPr>
          <w:rFonts w:cstheme="minorHAnsi"/>
          <w:lang w:val="en-US"/>
        </w:rPr>
      </w:pPr>
      <w:r>
        <w:rPr>
          <w:rFonts w:eastAsia="Batang" w:cstheme="minorHAnsi"/>
          <w:lang w:val="en-US"/>
        </w:rPr>
        <w:t xml:space="preserve">Raise Australia’s profile as a quality provider of education and research and as a partner for cooperation in policy, education and research collaboration. </w:t>
      </w:r>
    </w:p>
    <w:p w:rsidR="00161F55" w:rsidRPr="001C1693" w:rsidRDefault="0087167A" w:rsidP="00161F55">
      <w:pPr>
        <w:pStyle w:val="ListParagraph"/>
        <w:numPr>
          <w:ilvl w:val="0"/>
          <w:numId w:val="24"/>
        </w:numPr>
        <w:rPr>
          <w:rFonts w:cstheme="minorHAnsi"/>
          <w:lang w:val="en-US"/>
        </w:rPr>
      </w:pPr>
      <w:r w:rsidRPr="001C1693">
        <w:rPr>
          <w:rFonts w:cstheme="minorHAnsi"/>
          <w:lang w:val="en-US"/>
        </w:rPr>
        <w:t>Promot</w:t>
      </w:r>
      <w:r>
        <w:rPr>
          <w:rFonts w:cstheme="minorHAnsi"/>
          <w:lang w:val="en-US"/>
        </w:rPr>
        <w:t>e</w:t>
      </w:r>
      <w:r w:rsidRPr="001C1693">
        <w:rPr>
          <w:rFonts w:cstheme="minorHAnsi"/>
          <w:lang w:val="en-US"/>
        </w:rPr>
        <w:t xml:space="preserve"> </w:t>
      </w:r>
      <w:r w:rsidR="00161F55" w:rsidRPr="001C1693">
        <w:rPr>
          <w:rFonts w:cstheme="minorHAnsi"/>
          <w:lang w:val="en-US"/>
        </w:rPr>
        <w:t xml:space="preserve">Endeavour </w:t>
      </w:r>
      <w:r w:rsidR="006236F5">
        <w:rPr>
          <w:rFonts w:cstheme="minorHAnsi"/>
          <w:lang w:val="en-US"/>
        </w:rPr>
        <w:t xml:space="preserve">Scholarships </w:t>
      </w:r>
      <w:r w:rsidR="00161F55" w:rsidRPr="001C1693">
        <w:rPr>
          <w:rFonts w:cstheme="minorHAnsi"/>
          <w:lang w:val="en-US"/>
        </w:rPr>
        <w:t xml:space="preserve">in the US and Canada </w:t>
      </w:r>
    </w:p>
    <w:p w:rsidR="0039297B" w:rsidRPr="007019A7" w:rsidRDefault="00E2156D" w:rsidP="007019A7">
      <w:pPr>
        <w:pStyle w:val="ListParagraph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Engage in high-level dialogue to c</w:t>
      </w:r>
      <w:r w:rsidR="0087167A" w:rsidRPr="001C1693">
        <w:rPr>
          <w:rFonts w:cstheme="minorHAnsi"/>
          <w:lang w:val="en-US"/>
        </w:rPr>
        <w:t>ommunicat</w:t>
      </w:r>
      <w:r w:rsidR="0087167A">
        <w:rPr>
          <w:rFonts w:cstheme="minorHAnsi"/>
          <w:lang w:val="en-US"/>
        </w:rPr>
        <w:t>e</w:t>
      </w:r>
      <w:r w:rsidR="0087167A" w:rsidRPr="001C1693">
        <w:rPr>
          <w:rFonts w:cstheme="minorHAnsi"/>
          <w:lang w:val="en-US"/>
        </w:rPr>
        <w:t xml:space="preserve"> </w:t>
      </w:r>
      <w:r w:rsidR="00161F55" w:rsidRPr="001C1693">
        <w:rPr>
          <w:rFonts w:cstheme="minorHAnsi"/>
          <w:lang w:val="en-US"/>
        </w:rPr>
        <w:t>Australian</w:t>
      </w:r>
      <w:r w:rsidR="00F82EBB">
        <w:rPr>
          <w:rFonts w:cstheme="minorHAnsi"/>
          <w:lang w:val="en-US"/>
        </w:rPr>
        <w:t xml:space="preserve"> education</w:t>
      </w:r>
      <w:r w:rsidR="00161F55" w:rsidRPr="001C1693">
        <w:rPr>
          <w:rFonts w:cstheme="minorHAnsi"/>
          <w:lang w:val="en-US"/>
        </w:rPr>
        <w:t xml:space="preserve"> developments</w:t>
      </w:r>
      <w:r w:rsidR="00F82EBB">
        <w:rPr>
          <w:rFonts w:cstheme="minorHAnsi"/>
          <w:lang w:val="en-US"/>
        </w:rPr>
        <w:t xml:space="preserve"> and strengths</w:t>
      </w:r>
      <w:r w:rsidR="00161F55" w:rsidRPr="001C1693">
        <w:rPr>
          <w:rFonts w:cstheme="minorHAnsi"/>
          <w:lang w:val="en-US"/>
        </w:rPr>
        <w:t xml:space="preserve"> to various audiences, including government agencies, peak bodies, research organizations, and individual universities and colleges  </w:t>
      </w:r>
    </w:p>
    <w:p w:rsidR="00AC3CE5" w:rsidRPr="00AC3CE5" w:rsidRDefault="002679C9" w:rsidP="00AC3CE5">
      <w:pPr>
        <w:pStyle w:val="Heading1"/>
      </w:pPr>
      <w:r>
        <w:t xml:space="preserve">Key activities and </w:t>
      </w:r>
      <w:r w:rsidR="00AC3CE5">
        <w:t>events</w:t>
      </w:r>
    </w:p>
    <w:p w:rsidR="007019A7" w:rsidRDefault="007019A7" w:rsidP="007019A7">
      <w:pPr>
        <w:pStyle w:val="ListParagraph"/>
        <w:numPr>
          <w:ilvl w:val="0"/>
          <w:numId w:val="21"/>
        </w:numPr>
      </w:pPr>
      <w:proofErr w:type="spellStart"/>
      <w:r>
        <w:t>NAFSA</w:t>
      </w:r>
      <w:proofErr w:type="spellEnd"/>
      <w:r>
        <w:t xml:space="preserve"> Conference and U.S. Higher Education Partnerships Fair (May 2015</w:t>
      </w:r>
      <w:r w:rsidR="00CC2583">
        <w:t>, Boston</w:t>
      </w:r>
      <w:r>
        <w:t>)</w:t>
      </w:r>
    </w:p>
    <w:p w:rsidR="00CC2583" w:rsidRDefault="00CC2583" w:rsidP="00CC2583">
      <w:pPr>
        <w:pStyle w:val="ListParagraph"/>
        <w:numPr>
          <w:ilvl w:val="0"/>
          <w:numId w:val="21"/>
        </w:numPr>
      </w:pPr>
      <w:r>
        <w:t>BIO International Convention 2015 (15-18 June Philadelphia)</w:t>
      </w:r>
    </w:p>
    <w:p w:rsidR="00D6277E" w:rsidRDefault="007019A7" w:rsidP="007019A7">
      <w:pPr>
        <w:pStyle w:val="ListParagraph"/>
        <w:numPr>
          <w:ilvl w:val="0"/>
          <w:numId w:val="21"/>
        </w:numPr>
      </w:pPr>
      <w:r>
        <w:t>US</w:t>
      </w:r>
      <w:r w:rsidRPr="007019A7">
        <w:t xml:space="preserve">-Australia Joint Commission Meeting </w:t>
      </w:r>
      <w:r>
        <w:t>(</w:t>
      </w:r>
      <w:proofErr w:type="spellStart"/>
      <w:r>
        <w:t>JCM</w:t>
      </w:r>
      <w:proofErr w:type="spellEnd"/>
      <w:r>
        <w:t>) on Science and Technology (Nov 2015</w:t>
      </w:r>
      <w:r w:rsidR="00CC2583">
        <w:t>, DC)</w:t>
      </w:r>
    </w:p>
    <w:p w:rsidR="007019A7" w:rsidRDefault="007019A7" w:rsidP="007019A7">
      <w:pPr>
        <w:pStyle w:val="ListParagraph"/>
        <w:numPr>
          <w:ilvl w:val="1"/>
          <w:numId w:val="21"/>
        </w:numPr>
      </w:pPr>
      <w:r>
        <w:t>Enabling Technologies Technical Meeting (11-14 May</w:t>
      </w:r>
      <w:r w:rsidR="00CC2583">
        <w:t>, DC</w:t>
      </w:r>
      <w:r>
        <w:t xml:space="preserve">) </w:t>
      </w:r>
    </w:p>
    <w:p w:rsidR="00E2156D" w:rsidRPr="0073094E" w:rsidRDefault="00CC2583" w:rsidP="00CC2583">
      <w:pPr>
        <w:pStyle w:val="ListParagraph"/>
        <w:numPr>
          <w:ilvl w:val="0"/>
          <w:numId w:val="21"/>
        </w:numPr>
      </w:pPr>
      <w:r>
        <w:t>National Academies’ Unconventional Hydrocarbon Development Roundtable (Oct 2015, DC)</w:t>
      </w:r>
    </w:p>
    <w:p w:rsidR="00E2156D" w:rsidRDefault="00CC2583" w:rsidP="007C5A23">
      <w:pPr>
        <w:pStyle w:val="ListParagraph"/>
        <w:numPr>
          <w:ilvl w:val="0"/>
          <w:numId w:val="21"/>
        </w:numPr>
      </w:pPr>
      <w:proofErr w:type="spellStart"/>
      <w:r>
        <w:t>CHEA</w:t>
      </w:r>
      <w:proofErr w:type="spellEnd"/>
      <w:r>
        <w:t xml:space="preserve"> International Quality Group Meeting (Jan/Feb 2016)</w:t>
      </w:r>
    </w:p>
    <w:p w:rsidR="00AC3CE5" w:rsidRDefault="004B2E89" w:rsidP="007C5A23">
      <w:pPr>
        <w:pStyle w:val="ListParagraph"/>
        <w:numPr>
          <w:ilvl w:val="0"/>
          <w:numId w:val="21"/>
        </w:numPr>
      </w:pPr>
      <w:r>
        <w:t xml:space="preserve">Government-to-government </w:t>
      </w:r>
      <w:r w:rsidR="00E2156D">
        <w:t xml:space="preserve">education </w:t>
      </w:r>
      <w:r>
        <w:t xml:space="preserve">policy dialogues </w:t>
      </w:r>
      <w:r w:rsidR="00E2156D">
        <w:t>(Videoconference, Quarterly)</w:t>
      </w:r>
    </w:p>
    <w:sectPr w:rsidR="00AC3CE5" w:rsidSect="00A66052">
      <w:type w:val="continuous"/>
      <w:pgSz w:w="11906" w:h="16838"/>
      <w:pgMar w:top="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9C" w:rsidRDefault="0062149C" w:rsidP="00130923">
      <w:pPr>
        <w:spacing w:after="0" w:line="240" w:lineRule="auto"/>
      </w:pPr>
      <w:r>
        <w:separator/>
      </w:r>
    </w:p>
  </w:endnote>
  <w:endnote w:type="continuationSeparator" w:id="0">
    <w:p w:rsidR="0062149C" w:rsidRDefault="0062149C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B9" w:rsidRDefault="006E2B8E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 w:rsidR="00DD387C">
          <w:rPr>
            <w:noProof/>
          </w:rPr>
          <w:t>3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B2" w:rsidRDefault="00832FB2" w:rsidP="00E02515">
    <w:pPr>
      <w:spacing w:after="0"/>
      <w:ind w:left="1418"/>
      <w:rPr>
        <w:rStyle w:val="Emphasis"/>
      </w:rPr>
    </w:pPr>
    <w:r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9C" w:rsidRDefault="0062149C" w:rsidP="00130923">
      <w:pPr>
        <w:spacing w:after="0" w:line="240" w:lineRule="auto"/>
      </w:pPr>
      <w:r>
        <w:separator/>
      </w:r>
    </w:p>
  </w:footnote>
  <w:footnote w:type="continuationSeparator" w:id="0">
    <w:p w:rsidR="0062149C" w:rsidRDefault="0062149C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A0" w:rsidRPr="00C20DBA" w:rsidRDefault="00C20DBA" w:rsidP="00C20DBA">
    <w:pPr>
      <w:pStyle w:val="Header"/>
      <w:spacing w:after="480"/>
      <w:jc w:val="right"/>
      <w:rPr>
        <w:rFonts w:ascii="Calibri" w:hAnsi="Calibri" w:cs="Calibri"/>
      </w:rPr>
    </w:pPr>
    <w:r>
      <w:rPr>
        <w:rFonts w:ascii="Calibri" w:hAnsi="Calibri" w:cs="Calibri"/>
      </w:rPr>
      <w:t>North America – Opportunities / Goals /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3AA50300"/>
    <w:multiLevelType w:val="hybridMultilevel"/>
    <w:tmpl w:val="806A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3136C"/>
    <w:multiLevelType w:val="hybridMultilevel"/>
    <w:tmpl w:val="72606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6CD2782E"/>
    <w:multiLevelType w:val="hybridMultilevel"/>
    <w:tmpl w:val="BF6C46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524D0A"/>
    <w:multiLevelType w:val="hybridMultilevel"/>
    <w:tmpl w:val="86ECA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F4DDA"/>
    <w:multiLevelType w:val="hybridMultilevel"/>
    <w:tmpl w:val="B464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B37F3"/>
    <w:multiLevelType w:val="hybridMultilevel"/>
    <w:tmpl w:val="2B3CE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1"/>
  </w:num>
  <w:num w:numId="22">
    <w:abstractNumId w:val="20"/>
  </w:num>
  <w:num w:numId="23">
    <w:abstractNumId w:val="1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92324"/>
    <w:rsid w:val="00002721"/>
    <w:rsid w:val="00007E0C"/>
    <w:rsid w:val="00024E24"/>
    <w:rsid w:val="00034EAA"/>
    <w:rsid w:val="000861A6"/>
    <w:rsid w:val="0009257A"/>
    <w:rsid w:val="000D7FD3"/>
    <w:rsid w:val="000E7E7B"/>
    <w:rsid w:val="000F3BA2"/>
    <w:rsid w:val="001175BF"/>
    <w:rsid w:val="00130923"/>
    <w:rsid w:val="001414F3"/>
    <w:rsid w:val="00143FCD"/>
    <w:rsid w:val="00161F55"/>
    <w:rsid w:val="001B6467"/>
    <w:rsid w:val="001C1693"/>
    <w:rsid w:val="001C48A7"/>
    <w:rsid w:val="001E2898"/>
    <w:rsid w:val="00223EB1"/>
    <w:rsid w:val="00236917"/>
    <w:rsid w:val="00243D6B"/>
    <w:rsid w:val="002679C9"/>
    <w:rsid w:val="002B06E6"/>
    <w:rsid w:val="002B1EEC"/>
    <w:rsid w:val="002C3AA1"/>
    <w:rsid w:val="002D271F"/>
    <w:rsid w:val="002D2BB1"/>
    <w:rsid w:val="002D6386"/>
    <w:rsid w:val="002E628C"/>
    <w:rsid w:val="002F1999"/>
    <w:rsid w:val="00305B35"/>
    <w:rsid w:val="003155A7"/>
    <w:rsid w:val="003166C5"/>
    <w:rsid w:val="003242B9"/>
    <w:rsid w:val="00367371"/>
    <w:rsid w:val="003753C7"/>
    <w:rsid w:val="0039297B"/>
    <w:rsid w:val="003979FC"/>
    <w:rsid w:val="003D67FC"/>
    <w:rsid w:val="00406E5A"/>
    <w:rsid w:val="00455B34"/>
    <w:rsid w:val="00480370"/>
    <w:rsid w:val="00481F02"/>
    <w:rsid w:val="0048762C"/>
    <w:rsid w:val="004B256F"/>
    <w:rsid w:val="004B2E89"/>
    <w:rsid w:val="005113B6"/>
    <w:rsid w:val="00531817"/>
    <w:rsid w:val="00560CA0"/>
    <w:rsid w:val="005624F3"/>
    <w:rsid w:val="005811EF"/>
    <w:rsid w:val="005B0878"/>
    <w:rsid w:val="005C15C0"/>
    <w:rsid w:val="00610654"/>
    <w:rsid w:val="0062149C"/>
    <w:rsid w:val="006236F5"/>
    <w:rsid w:val="006246F4"/>
    <w:rsid w:val="006318B9"/>
    <w:rsid w:val="0063548E"/>
    <w:rsid w:val="0067026C"/>
    <w:rsid w:val="006E2B8E"/>
    <w:rsid w:val="006E2D49"/>
    <w:rsid w:val="007019A7"/>
    <w:rsid w:val="007063F2"/>
    <w:rsid w:val="0073094E"/>
    <w:rsid w:val="007468FC"/>
    <w:rsid w:val="00747EDC"/>
    <w:rsid w:val="00786B6E"/>
    <w:rsid w:val="00792CA3"/>
    <w:rsid w:val="007A7E8F"/>
    <w:rsid w:val="007B2FDD"/>
    <w:rsid w:val="007B6A04"/>
    <w:rsid w:val="007C5A23"/>
    <w:rsid w:val="007D58FB"/>
    <w:rsid w:val="00832FB2"/>
    <w:rsid w:val="0083468A"/>
    <w:rsid w:val="00842D43"/>
    <w:rsid w:val="00856D1C"/>
    <w:rsid w:val="0087167A"/>
    <w:rsid w:val="00876AC0"/>
    <w:rsid w:val="008E7706"/>
    <w:rsid w:val="00903408"/>
    <w:rsid w:val="00905AD9"/>
    <w:rsid w:val="009116EA"/>
    <w:rsid w:val="00933671"/>
    <w:rsid w:val="00972BF7"/>
    <w:rsid w:val="00972DD5"/>
    <w:rsid w:val="00984879"/>
    <w:rsid w:val="00985632"/>
    <w:rsid w:val="00991B63"/>
    <w:rsid w:val="009A053D"/>
    <w:rsid w:val="009B2428"/>
    <w:rsid w:val="009B5CB7"/>
    <w:rsid w:val="009D414A"/>
    <w:rsid w:val="00A31242"/>
    <w:rsid w:val="00A475CB"/>
    <w:rsid w:val="00A4763A"/>
    <w:rsid w:val="00A52530"/>
    <w:rsid w:val="00A551BF"/>
    <w:rsid w:val="00A66052"/>
    <w:rsid w:val="00A6633F"/>
    <w:rsid w:val="00A70524"/>
    <w:rsid w:val="00A73406"/>
    <w:rsid w:val="00A80E62"/>
    <w:rsid w:val="00AC3CE5"/>
    <w:rsid w:val="00AC42B4"/>
    <w:rsid w:val="00AC65DA"/>
    <w:rsid w:val="00AD09E4"/>
    <w:rsid w:val="00AF1737"/>
    <w:rsid w:val="00B2722A"/>
    <w:rsid w:val="00B618BA"/>
    <w:rsid w:val="00B82137"/>
    <w:rsid w:val="00BA282D"/>
    <w:rsid w:val="00BA4D57"/>
    <w:rsid w:val="00BB6260"/>
    <w:rsid w:val="00C05E74"/>
    <w:rsid w:val="00C10C19"/>
    <w:rsid w:val="00C143B8"/>
    <w:rsid w:val="00C17D02"/>
    <w:rsid w:val="00C20DBA"/>
    <w:rsid w:val="00C5649C"/>
    <w:rsid w:val="00C75486"/>
    <w:rsid w:val="00C8202C"/>
    <w:rsid w:val="00C91576"/>
    <w:rsid w:val="00C92A5B"/>
    <w:rsid w:val="00CA46EC"/>
    <w:rsid w:val="00CC2583"/>
    <w:rsid w:val="00D05116"/>
    <w:rsid w:val="00D05B29"/>
    <w:rsid w:val="00D1394D"/>
    <w:rsid w:val="00D27C2D"/>
    <w:rsid w:val="00D47740"/>
    <w:rsid w:val="00D6277E"/>
    <w:rsid w:val="00D812B9"/>
    <w:rsid w:val="00D903FD"/>
    <w:rsid w:val="00D91538"/>
    <w:rsid w:val="00D92324"/>
    <w:rsid w:val="00D94BC5"/>
    <w:rsid w:val="00D94E92"/>
    <w:rsid w:val="00D96C08"/>
    <w:rsid w:val="00DA0F34"/>
    <w:rsid w:val="00DA1AC2"/>
    <w:rsid w:val="00DC3052"/>
    <w:rsid w:val="00DD387C"/>
    <w:rsid w:val="00DF46C4"/>
    <w:rsid w:val="00DF4CA3"/>
    <w:rsid w:val="00E02515"/>
    <w:rsid w:val="00E1604B"/>
    <w:rsid w:val="00E2156D"/>
    <w:rsid w:val="00E3019B"/>
    <w:rsid w:val="00E34871"/>
    <w:rsid w:val="00E67052"/>
    <w:rsid w:val="00EA0785"/>
    <w:rsid w:val="00EB319F"/>
    <w:rsid w:val="00EC78E7"/>
    <w:rsid w:val="00ED43D2"/>
    <w:rsid w:val="00EE3B8C"/>
    <w:rsid w:val="00EF4A38"/>
    <w:rsid w:val="00EF5845"/>
    <w:rsid w:val="00F014AF"/>
    <w:rsid w:val="00F11B8F"/>
    <w:rsid w:val="00F47193"/>
    <w:rsid w:val="00F74011"/>
    <w:rsid w:val="00F80CFC"/>
    <w:rsid w:val="00F80DCB"/>
    <w:rsid w:val="00F82EBB"/>
    <w:rsid w:val="00F95E8A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87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87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AD11CAEEF438CB4383BBCD17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2EBF-6EAC-4F45-AB81-01B8546BBE50}"/>
      </w:docPartPr>
      <w:docPartBody>
        <w:p w:rsidR="00250AD1" w:rsidRDefault="00250AD1">
          <w:pPr>
            <w:pStyle w:val="C1DAD11CAEEF438CB4383BBCD17B4DE7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1"/>
    <w:rsid w:val="002371EE"/>
    <w:rsid w:val="00250AD1"/>
    <w:rsid w:val="00522B46"/>
    <w:rsid w:val="00724BEF"/>
    <w:rsid w:val="00F205A6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9CF26BB63FD47B6627C9F8AC22AED" ma:contentTypeVersion="2" ma:contentTypeDescription="Create a new document." ma:contentTypeScope="" ma:versionID="1882b3a28d68382e32a335caf79bc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6C072-79DE-486B-99E0-F8037825FF5A}"/>
</file>

<file path=customXml/itemProps2.xml><?xml version="1.0" encoding="utf-8"?>
<ds:datastoreItem xmlns:ds="http://schemas.openxmlformats.org/officeDocument/2006/customXml" ds:itemID="{F57166C5-B1F3-49AB-8928-050D79CFF202}"/>
</file>

<file path=customXml/itemProps3.xml><?xml version="1.0" encoding="utf-8"?>
<ds:datastoreItem xmlns:ds="http://schemas.openxmlformats.org/officeDocument/2006/customXml" ds:itemID="{7CF99EFB-7BA9-4984-B5DE-4174A4410E88}"/>
</file>

<file path=customXml/itemProps4.xml><?xml version="1.0" encoding="utf-8"?>
<ds:datastoreItem xmlns:ds="http://schemas.openxmlformats.org/officeDocument/2006/customXml" ds:itemID="{05B85EBE-AFBB-4E4D-9C38-05922EDC894B}"/>
</file>

<file path=docProps/app.xml><?xml version="1.0" encoding="utf-8"?>
<Properties xmlns="http://schemas.openxmlformats.org/officeDocument/2006/extended-properties" xmlns:vt="http://schemas.openxmlformats.org/officeDocument/2006/docPropsVTypes">
  <Template>36025551.dotm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America—Education &amp; Research Partnership Opportunities</vt:lpstr>
    </vt:vector>
  </TitlesOfParts>
  <Company>Australian Government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America—Education &amp; Research Partnership Opportunities</dc:title>
  <dc:creator>Maria Fleming</dc:creator>
  <cp:lastModifiedBy>John  Psilopatis</cp:lastModifiedBy>
  <cp:revision>8</cp:revision>
  <cp:lastPrinted>2015-02-24T22:06:00Z</cp:lastPrinted>
  <dcterms:created xsi:type="dcterms:W3CDTF">2015-04-27T00:06:00Z</dcterms:created>
  <dcterms:modified xsi:type="dcterms:W3CDTF">2015-04-27T00:10:00Z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0x0101008B19CF26BB63FD47B6627C9F8AC22AED</vt:lpwstr>
  </property>
  <property fmtid="{D5CDD505-2E9C-101B-9397-08002B2CF9AE}" pid="3" name="Order">
    <vt:r8>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